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4DAED67F" wp14:editId="4767B1BC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kern w:val="2"/>
          <w:sz w:val="20"/>
          <w:szCs w:val="24"/>
          <w:lang w:val="uk-UA"/>
        </w:rPr>
        <w:t>УКРАЇНА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386EE6" w:rsidRPr="00BA7F9B" w:rsidRDefault="00386EE6" w:rsidP="00386EE6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386EE6" w:rsidRPr="00BA7F9B" w:rsidRDefault="00386EE6" w:rsidP="00386EE6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>ТА ІНСПЕКТУВАННЯ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10"/>
          <w:szCs w:val="10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ind w:left="-180"/>
        <w:jc w:val="center"/>
        <w:textAlignment w:val="auto"/>
        <w:rPr>
          <w:rFonts w:ascii="Times New Roman" w:hAnsi="Times New Roman" w:cs="Times New Roman"/>
          <w:b/>
          <w:kern w:val="2"/>
          <w:szCs w:val="20"/>
          <w:lang w:val="uk-UA"/>
        </w:rPr>
      </w:pPr>
      <w:r w:rsidRPr="00BA7F9B">
        <w:rPr>
          <w:rFonts w:ascii="Times New Roman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  <w:r w:rsidRPr="00BA7F9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</w:pP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Про  надання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фізичній особі-підприємцю</w:t>
      </w: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Руденку С.М.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містобудівних умов і 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обмежень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забудови земельної  ділянки по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hAnsi="Times New Roman"/>
          <w:kern w:val="0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фізичної особи-підприємця Руденка Станіслава Миколайовича</w:t>
      </w:r>
      <w:r w:rsidRPr="0052670B">
        <w:rPr>
          <w:rFonts w:ascii="Times New Roman" w:hAnsi="Times New Roman" w:cs="Arial Unicode MS"/>
          <w:kern w:val="0"/>
          <w:sz w:val="27"/>
          <w:szCs w:val="27"/>
          <w:lang w:val="uk-UA"/>
        </w:rPr>
        <w:t>,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0"/>
          <w:sz w:val="27"/>
          <w:szCs w:val="27"/>
          <w:lang w:val="uk-UA"/>
        </w:rPr>
        <w:t xml:space="preserve">договір </w:t>
      </w:r>
      <w:proofErr w:type="spellStart"/>
      <w:r>
        <w:rPr>
          <w:rFonts w:ascii="Times New Roman" w:hAnsi="Times New Roman"/>
          <w:kern w:val="0"/>
          <w:sz w:val="27"/>
          <w:szCs w:val="27"/>
          <w:lang w:val="uk-UA"/>
        </w:rPr>
        <w:t>суперфіція</w:t>
      </w:r>
      <w:proofErr w:type="spellEnd"/>
      <w:r>
        <w:rPr>
          <w:rFonts w:ascii="Times New Roman" w:hAnsi="Times New Roman"/>
          <w:kern w:val="0"/>
          <w:sz w:val="27"/>
          <w:szCs w:val="27"/>
          <w:lang w:val="uk-UA"/>
        </w:rPr>
        <w:t xml:space="preserve"> від 11.04.2016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>, витяг з Державного реєстру речових прав на неру</w:t>
      </w:r>
      <w:r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0"/>
          <w:sz w:val="27"/>
          <w:szCs w:val="27"/>
          <w:lang w:val="uk-UA"/>
        </w:rPr>
        <w:t xml:space="preserve">іншого речового права від 19.04.2016 № 57652684, 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>витяг з Державного реєстру речових прав на неру</w:t>
      </w:r>
      <w:r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 прав та їх обтяжень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 </w:t>
      </w:r>
      <w:r>
        <w:rPr>
          <w:rFonts w:ascii="Times New Roman" w:eastAsiaTheme="minorHAnsi" w:hAnsi="Times New Roman"/>
          <w:kern w:val="0"/>
          <w:sz w:val="27"/>
          <w:szCs w:val="27"/>
          <w:lang w:val="uk-UA"/>
        </w:rPr>
        <w:t>від 16</w:t>
      </w:r>
      <w:r w:rsidRPr="0052670B">
        <w:rPr>
          <w:rFonts w:ascii="Times New Roman" w:eastAsiaTheme="minorHAnsi" w:hAnsi="Times New Roman"/>
          <w:kern w:val="0"/>
          <w:sz w:val="27"/>
          <w:szCs w:val="27"/>
          <w:lang w:val="uk-UA"/>
        </w:rPr>
        <w:t>.01.2015 № 32</w:t>
      </w:r>
      <w:r>
        <w:rPr>
          <w:rFonts w:ascii="Times New Roman" w:eastAsiaTheme="minorHAnsi" w:hAnsi="Times New Roman"/>
          <w:kern w:val="0"/>
          <w:sz w:val="27"/>
          <w:szCs w:val="27"/>
          <w:lang w:val="uk-UA"/>
        </w:rPr>
        <w:t>286751</w:t>
      </w:r>
      <w:r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до 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</w:t>
      </w:r>
      <w:r>
        <w:rPr>
          <w:rFonts w:ascii="Times New Roman" w:hAnsi="Times New Roman" w:cs="Arial Unicode MS"/>
          <w:kern w:val="0"/>
          <w:sz w:val="27"/>
          <w:szCs w:val="27"/>
          <w:lang w:val="uk-UA"/>
        </w:rPr>
        <w:t>6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 xml:space="preserve">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НАКАЗУЮ: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1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. Надати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фізичній особі-підприємцю Руденку Станіславу Миколайовичу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містобудівні умови і обмеження 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забудови  земельної  ділянки по вул.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для реконструкції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під торгово-офісні приміщення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>(додаються).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2.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Зобов'язати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особ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-підприємц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я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Руденк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Станіслава Миколайовича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>: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ab/>
        <w:t xml:space="preserve">2.1.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реконструкції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під 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по 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386EE6" w:rsidRPr="00BA7F9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 З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lastRenderedPageBreak/>
        <w:t>економічними показниками, не пізніше 15 днів до введення об’єкта в експлуатацію.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         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4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 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5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Ф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ізичній особі-підприємцю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Руденку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Станіславу Миколайовичу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6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Заступник директора департаменту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 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Р.В. Алдаганов</w:t>
      </w:r>
    </w:p>
    <w:p w:rsidR="00386EE6" w:rsidRPr="00BA7F9B" w:rsidRDefault="00386EE6" w:rsidP="00386EE6">
      <w:pPr>
        <w:widowControl/>
        <w:autoSpaceDN/>
        <w:spacing w:after="0" w:line="240" w:lineRule="auto"/>
        <w:ind w:firstLine="6120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386EE6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2560F8" w:rsidRDefault="002560F8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lastRenderedPageBreak/>
        <w:t xml:space="preserve">Додаток </w:t>
      </w: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 xml:space="preserve">від __________  № </w:t>
      </w: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______</w:t>
      </w:r>
    </w:p>
    <w:p w:rsidR="00386EE6" w:rsidRPr="00F91A80" w:rsidRDefault="00386EE6" w:rsidP="00386EE6">
      <w:pPr>
        <w:widowControl/>
        <w:autoSpaceDN/>
        <w:spacing w:after="0" w:line="240" w:lineRule="auto"/>
        <w:ind w:firstLine="6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МІСТОБУДІВНІ УМОВИ І ОБМЕЖЕННЯ</w:t>
      </w: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ЗАБУДОВИ ЗЕМЕЛЬНОЇ ДІЛЯНКИ</w:t>
      </w: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 xml:space="preserve">по вул. </w:t>
      </w:r>
      <w:proofErr w:type="spellStart"/>
      <w:r w:rsidR="00D4163D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, 28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                                                   </w:t>
      </w:r>
      <w:bookmarkStart w:id="0" w:name="_GoBack"/>
      <w:bookmarkEnd w:id="0"/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>І. Текстова частина.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>Загальні дані: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</w:p>
    <w:p w:rsidR="00386EE6" w:rsidRPr="0091674C" w:rsidRDefault="00386EE6" w:rsidP="00D4163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Arial Unicode MS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Назва об’єкта будівництва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реконструкція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7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під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.</w:t>
      </w:r>
    </w:p>
    <w:p w:rsidR="00D4163D" w:rsidRPr="00D4163D" w:rsidRDefault="00386EE6" w:rsidP="00D4163D">
      <w:pPr>
        <w:pStyle w:val="a3"/>
        <w:numPr>
          <w:ilvl w:val="0"/>
          <w:numId w:val="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/>
        </w:rPr>
      </w:pPr>
      <w:r w:rsidRPr="00D4163D">
        <w:rPr>
          <w:rFonts w:ascii="Times New Roman" w:hAnsi="Times New Roman"/>
          <w:b/>
          <w:kern w:val="0"/>
          <w:sz w:val="24"/>
          <w:szCs w:val="24"/>
          <w:lang w:val="uk-UA" w:eastAsia="ar-SA"/>
        </w:rPr>
        <w:t>Інформація про замовника</w:t>
      </w:r>
      <w:r w:rsidRPr="00D4163D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</w:t>
      </w:r>
      <w:r w:rsidRPr="00D4163D">
        <w:rPr>
          <w:rFonts w:ascii="Times New Roman" w:hAnsi="Times New Roman"/>
          <w:kern w:val="0"/>
          <w:sz w:val="28"/>
          <w:szCs w:val="34"/>
          <w:lang w:val="uk-UA" w:eastAsia="ar-SA"/>
        </w:rPr>
        <w:t>—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фізичн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а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особ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а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-підприєм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е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ц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ь 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Руденк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о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С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таніслав</w:t>
      </w:r>
    </w:p>
    <w:p w:rsidR="00D4163D" w:rsidRDefault="00386EE6" w:rsidP="00D4163D">
      <w:pPr>
        <w:widowControl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М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иколайович;</w:t>
      </w:r>
    </w:p>
    <w:p w:rsidR="00386EE6" w:rsidRPr="0091674C" w:rsidRDefault="00D4163D" w:rsidP="00D4163D">
      <w:pPr>
        <w:widowControl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реєстраційний номер</w:t>
      </w:r>
      <w:r w:rsidR="00386EE6"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3291414599</w:t>
      </w:r>
      <w:r w:rsidR="00386EE6"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D4163D">
      <w:pPr>
        <w:widowControl/>
        <w:shd w:val="clear" w:color="auto" w:fill="FFFFFF"/>
        <w:autoSpaceDN/>
        <w:spacing w:after="0" w:line="240" w:lineRule="auto"/>
        <w:ind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місцезнаходжен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ня: м. Черкаси, вул.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Гагаріна, 35, кв. 51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D4163D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426" w:hanging="426"/>
        <w:contextualSpacing/>
        <w:textAlignment w:val="auto"/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Наміри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реконструкція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під 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>.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tLeast"/>
        <w:ind w:left="426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 xml:space="preserve">м. Черкаси,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 </w:t>
      </w:r>
    </w:p>
    <w:p w:rsidR="00386EE6" w:rsidRPr="0091674C" w:rsidRDefault="00386EE6" w:rsidP="00386EE6">
      <w:pPr>
        <w:widowControl/>
        <w:shd w:val="clear" w:color="auto" w:fill="FFFFFF"/>
        <w:suppressAutoHyphens w:val="0"/>
        <w:autoSpaceDN/>
        <w:spacing w:after="0" w:line="240" w:lineRule="atLeast"/>
        <w:ind w:left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   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Сумгаїтська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tLeast"/>
        <w:ind w:left="426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Документ, що підтверджує право власності або користування земельною ділянкою </w:t>
      </w:r>
    </w:p>
    <w:p w:rsidR="00386EE6" w:rsidRPr="0091674C" w:rsidRDefault="00386EE6" w:rsidP="00D4163D">
      <w:pPr>
        <w:widowControl/>
        <w:shd w:val="clear" w:color="auto" w:fill="FFFFFF"/>
        <w:suppressAutoHyphens w:val="0"/>
        <w:autoSpaceDN/>
        <w:spacing w:after="0" w:line="240" w:lineRule="atLeast"/>
        <w:ind w:left="709" w:hanging="709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       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– 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 xml:space="preserve">договір </w:t>
      </w:r>
      <w:proofErr w:type="spellStart"/>
      <w:r w:rsidR="00D4163D">
        <w:rPr>
          <w:rFonts w:ascii="Times New Roman" w:hAnsi="Times New Roman"/>
          <w:kern w:val="0"/>
          <w:sz w:val="27"/>
          <w:szCs w:val="27"/>
          <w:lang w:val="uk-UA"/>
        </w:rPr>
        <w:t>суперфіція</w:t>
      </w:r>
      <w:proofErr w:type="spellEnd"/>
      <w:r w:rsid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від 11.04.2016</w:t>
      </w:r>
      <w:r w:rsidR="00D4163D" w:rsidRPr="0052670B">
        <w:rPr>
          <w:rFonts w:ascii="Times New Roman" w:hAnsi="Times New Roman"/>
          <w:kern w:val="0"/>
          <w:sz w:val="27"/>
          <w:szCs w:val="27"/>
          <w:lang w:val="uk-UA"/>
        </w:rPr>
        <w:t>,  витяг з Державного реєстру речових прав на неру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</w:t>
      </w:r>
      <w:r w:rsidR="00D4163D"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>іншого речового права від 19.04.2016 № 57652684</w:t>
      </w:r>
      <w:r>
        <w:rPr>
          <w:rFonts w:ascii="Times New Roman" w:eastAsiaTheme="minorHAnsi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Площа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0,0</w:t>
      </w:r>
      <w:r w:rsidR="00D4163D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095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7.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Цільове призначення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землі жи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тлової та громадської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>забудови.</w:t>
      </w:r>
    </w:p>
    <w:p w:rsidR="00386EE6" w:rsidRPr="0091674C" w:rsidRDefault="00386EE6" w:rsidP="002560F8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8.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зонування, детальний план території та рішення про їх затвердження (у разі наявності) —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="002560F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територія </w:t>
      </w:r>
      <w:r w:rsidR="005D051E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багатоповерхової житлової забудови;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5D051E" w:rsidRPr="005D05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818" w:type="dxa"/>
          </w:tcPr>
          <w:p w:rsidR="005D051E" w:rsidRPr="005D051E" w:rsidRDefault="00386EE6" w:rsidP="005D051E">
            <w:pPr>
              <w:pStyle w:val="Default"/>
              <w:ind w:left="709"/>
              <w:jc w:val="both"/>
              <w:rPr>
                <w:sz w:val="26"/>
                <w:szCs w:val="26"/>
                <w:lang w:val="uk-UA"/>
              </w:rPr>
            </w:pPr>
            <w:r w:rsidRPr="0091674C">
              <w:rPr>
                <w:rFonts w:eastAsia="Times New Roman"/>
                <w:color w:val="FF0000"/>
                <w:sz w:val="27"/>
                <w:szCs w:val="27"/>
                <w:lang w:val="uk-UA"/>
              </w:rPr>
              <w:t xml:space="preserve">        </w:t>
            </w:r>
            <w:r w:rsidRPr="0091674C">
              <w:rPr>
                <w:rFonts w:eastAsia="Times New Roman"/>
                <w:sz w:val="27"/>
                <w:szCs w:val="27"/>
                <w:lang w:val="uk-UA"/>
              </w:rPr>
              <w:t xml:space="preserve">згідно з Планом зонування території міста Черкаси, затвердженим рішенням  Черкаської міської ради від 04.12.2014 № 2-513 – </w:t>
            </w:r>
            <w:r w:rsidR="005D051E" w:rsidRPr="005D051E">
              <w:rPr>
                <w:rFonts w:eastAsia="Times New Roman"/>
                <w:sz w:val="27"/>
                <w:szCs w:val="27"/>
                <w:lang w:val="uk-UA"/>
              </w:rPr>
              <w:t>з</w:t>
            </w:r>
            <w:r w:rsidR="005D051E" w:rsidRPr="005D051E">
              <w:rPr>
                <w:bCs/>
                <w:sz w:val="26"/>
                <w:szCs w:val="26"/>
                <w:lang w:val="uk-UA"/>
              </w:rPr>
              <w:t>она мішаної багатоповерхової житлової забудови та громадської забудови</w:t>
            </w:r>
            <w:r w:rsidR="005D051E">
              <w:rPr>
                <w:bCs/>
                <w:sz w:val="26"/>
                <w:szCs w:val="26"/>
                <w:lang w:val="uk-UA"/>
              </w:rPr>
              <w:t>.</w:t>
            </w:r>
            <w:r w:rsidR="005D051E" w:rsidRPr="005D051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86EE6" w:rsidRPr="0091674C" w:rsidRDefault="00386EE6" w:rsidP="005D051E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9. Функціональне призначення земельної ділянки: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для будівництва та обслуговування </w:t>
      </w:r>
      <w:r w:rsidR="005202DF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багатоквартирного житлового будинку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10.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Основні техніко-економічні показники забудови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:</w:t>
      </w:r>
    </w:p>
    <w:p w:rsidR="002560F8" w:rsidRDefault="00386EE6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 xml:space="preserve">площа забудови </w:t>
      </w:r>
      <w:r w:rsidRPr="0091674C">
        <w:rPr>
          <w:rFonts w:ascii="Tahoma" w:eastAsia="Times New Roman" w:hAnsi="Tahoma" w:cs="Tahoma"/>
          <w:bCs/>
          <w:color w:val="000000"/>
          <w:kern w:val="0"/>
          <w:sz w:val="27"/>
          <w:szCs w:val="27"/>
          <w:lang w:val="uk-UA" w:eastAsia="ar-SA"/>
        </w:rPr>
        <w:t xml:space="preserve">—  </w:t>
      </w:r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90</w:t>
      </w:r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,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0 </w:t>
      </w:r>
      <w:proofErr w:type="spellStart"/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, </w:t>
      </w:r>
    </w:p>
    <w:p w:rsidR="00386EE6" w:rsidRDefault="005F5523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 xml:space="preserve">загальна </w:t>
      </w:r>
      <w:r w:rsidR="00386EE6" w:rsidRPr="0091674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>площа приміщень  –</w:t>
      </w:r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до 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73</w:t>
      </w:r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</w:t>
      </w:r>
      <w:proofErr w:type="spellStart"/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,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із них</w:t>
      </w:r>
    </w:p>
    <w:p w:rsidR="005F5523" w:rsidRPr="0091674C" w:rsidRDefault="005F5523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площа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офісно-виставкових приміщень – до 13 </w:t>
      </w:r>
      <w:proofErr w:type="spellStart"/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,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Arial Unicode MS"/>
          <w:bCs/>
          <w:color w:val="000000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Arial Unicode MS"/>
          <w:bCs/>
          <w:color w:val="000000"/>
          <w:kern w:val="0"/>
          <w:sz w:val="27"/>
          <w:szCs w:val="27"/>
          <w:lang w:val="uk-UA"/>
        </w:rPr>
        <w:t xml:space="preserve">поверховість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– 1 поверх.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Arial Unicode MS"/>
          <w:b/>
          <w:bCs/>
          <w:color w:val="000000"/>
          <w:kern w:val="0"/>
          <w:sz w:val="27"/>
          <w:szCs w:val="27"/>
          <w:lang w:val="uk-UA" w:eastAsia="ar-SA"/>
        </w:rPr>
        <w:tab/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  <w:t>Містобудівні умови та обмеження:</w:t>
      </w:r>
    </w:p>
    <w:p w:rsidR="00386EE6" w:rsidRPr="002F0823" w:rsidRDefault="00386EE6" w:rsidP="00386EE6">
      <w:pPr>
        <w:pStyle w:val="a3"/>
        <w:numPr>
          <w:ilvl w:val="0"/>
          <w:numId w:val="3"/>
        </w:numPr>
        <w:tabs>
          <w:tab w:val="left" w:pos="-6237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kern w:val="0"/>
          <w:sz w:val="27"/>
          <w:szCs w:val="27"/>
          <w:lang w:val="uk-UA" w:eastAsia="ar-SA"/>
        </w:rPr>
      </w:pPr>
      <w:r w:rsidRPr="002F0823">
        <w:rPr>
          <w:rFonts w:ascii="Times New Roman" w:hAnsi="Times New Roman"/>
          <w:b/>
          <w:kern w:val="0"/>
          <w:sz w:val="24"/>
          <w:szCs w:val="24"/>
          <w:lang w:val="uk-UA" w:eastAsia="ar-SA"/>
        </w:rPr>
        <w:t>Граничнодопустима висота будівель</w:t>
      </w:r>
      <w:r w:rsidRPr="002F0823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</w:t>
      </w:r>
      <w:r w:rsidRPr="002F0823">
        <w:rPr>
          <w:rFonts w:ascii="Times New Roman" w:hAnsi="Times New Roman" w:cs="Tahoma"/>
          <w:kern w:val="0"/>
          <w:sz w:val="28"/>
          <w:szCs w:val="34"/>
          <w:lang w:val="uk-UA" w:eastAsia="ar-SA"/>
        </w:rPr>
        <w:t xml:space="preserve">—  </w:t>
      </w:r>
      <w:r w:rsidRPr="002F0823">
        <w:rPr>
          <w:rFonts w:ascii="Times New Roman" w:hAnsi="Times New Roman" w:cs="Tahoma"/>
          <w:b/>
          <w:kern w:val="0"/>
          <w:sz w:val="27"/>
          <w:szCs w:val="27"/>
          <w:lang w:val="uk-UA" w:eastAsia="ar-SA"/>
        </w:rPr>
        <w:t xml:space="preserve"> </w:t>
      </w:r>
      <w:r w:rsidR="005F5523">
        <w:rPr>
          <w:rFonts w:ascii="Times New Roman" w:hAnsi="Times New Roman" w:cs="Tahoma"/>
          <w:bCs/>
          <w:kern w:val="0"/>
          <w:sz w:val="27"/>
          <w:szCs w:val="27"/>
          <w:lang w:val="uk-UA" w:eastAsia="ar-SA"/>
        </w:rPr>
        <w:t>існуюча</w:t>
      </w:r>
      <w:r>
        <w:rPr>
          <w:rFonts w:ascii="Times New Roman" w:hAnsi="Times New Roman"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Arial Unicode MS"/>
          <w:b/>
          <w:bCs/>
          <w:color w:val="FF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Максимально допустимий відсоток забудови земельної ділянки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до 80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%</w:t>
      </w:r>
      <w:r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3.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Максимально допустима щільність населення (для житлової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)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>не розраховується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numPr>
          <w:ilvl w:val="0"/>
          <w:numId w:val="2"/>
        </w:numPr>
        <w:tabs>
          <w:tab w:val="left" w:pos="-3261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5F5523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>внутрішньо квартальна забудова</w:t>
      </w:r>
      <w:r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>.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142" w:hanging="142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Планувальні обмеження (зони охорони пам’яток культурної спадщини, зони охоронюваного ландшафту, межі історичних ареалів, прибережні захисні смуги,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санітарно-захисні та інші охоронювані зони)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— урахувати законні інтереси і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вимоги  власників або користувачів суміжних земельних ділянок та будівель, що оточують місце будівництва згідно зі статтею 5 Закону Укра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їни «Про основи містобудування».</w:t>
      </w:r>
    </w:p>
    <w:p w:rsidR="00386EE6" w:rsidRPr="00C542A0" w:rsidRDefault="00386EE6" w:rsidP="00386EE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відповідно до вимог ДБН 360-92** дотриматись</w:t>
      </w:r>
      <w:r w:rsidRPr="0091674C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необхідних планувальних, санітарних, протипожежних відступів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від існуючих будівель і споруд.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</w:p>
    <w:p w:rsidR="005F5523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7.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Охоронювані зони інженерних комунікацій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>— в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 xml:space="preserve">- розробити заходи щодо збереження забезпечення безперебійного інженерного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забезпечення прилеглої забудови.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8.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Arial Unicode MS"/>
          <w:kern w:val="0"/>
          <w:sz w:val="28"/>
          <w:szCs w:val="34"/>
          <w:lang w:val="uk-UA" w:eastAsia="ar-SA"/>
        </w:rPr>
        <w:tab/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інш</w:t>
      </w:r>
      <w:proofErr w:type="spellEnd"/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jc w:val="both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геоінформаційної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МГІС-Черкаси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mail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: </w:t>
      </w:r>
      <w:proofErr w:type="spellStart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mgis</w:t>
      </w:r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.cherkasy</w:t>
      </w:r>
      <w:proofErr w:type="spellEnd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@</w:t>
      </w:r>
      <w:proofErr w:type="spellStart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ukr</w:t>
      </w:r>
      <w:proofErr w:type="spellEnd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.</w:t>
      </w:r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net</w:t>
      </w: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згідно з технічними вимогами: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формат − *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.dmf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(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Delta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Digitals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та *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.pdf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(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Adobe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Acrobat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векторний;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система висот − Балтійська.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Держгеодезкартографії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від 09.03.2000 № 25.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Держгеодезкартографії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від 03.08.2001 № 295.</w:t>
      </w: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ahoma"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9.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28"/>
          <w:lang w:val="uk-UA" w:eastAsia="ar-SA"/>
        </w:rPr>
        <w:t xml:space="preserve">― 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згідно </w:t>
      </w:r>
      <w:r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 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з “Правила благоустрою міста Черкаси”, затвердженими рішенням Черкаської міської ради від 11.11.2008 № 4-688 </w:t>
      </w:r>
      <w:r w:rsidR="005F5523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і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складі проекту передбачити: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lastRenderedPageBreak/>
        <w:t xml:space="preserve">- виконання комплексного благоустрою та впорядкування прилеглої території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і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використа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ння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досвід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у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європейських країн в частині розпланування та озеленення території (газони, квітники, багаторічні насадження, тротуарні світильники, влаштування  покриття із плит ФЕМ)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 xml:space="preserve">;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розміщення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набору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функціонально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необхідних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малих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арх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ітектурних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форм (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урни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лавки для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відпочинку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)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зовнішнє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освітлення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: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встановити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декоративні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св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ітильники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які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б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забезпечили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нормативний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рівень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освітленості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території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безперешкодного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пересування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/>
        <w:jc w:val="both"/>
        <w:textAlignment w:val="auto"/>
        <w:rPr>
          <w:rFonts w:ascii="Times New Roman" w:eastAsia="Tahoma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ahoma" w:hAnsi="Times New Roman" w:cs="Tahoma"/>
          <w:bCs/>
          <w:kern w:val="0"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386EE6" w:rsidRPr="000D7DE4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0D7DE4">
        <w:rPr>
          <w:rFonts w:ascii="Times New Roman" w:eastAsia="Times New Roman" w:hAnsi="Times New Roman" w:cs="Times New Roman"/>
          <w:kern w:val="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огородження території.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 xml:space="preserve">В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складі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 xml:space="preserve"> проекту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передбачити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зовнішнє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опорядження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(паспорт опорядження додатково погодити)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: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ст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іни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фасаду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, цоколь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відповідно до паспорта опорядження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</w:rPr>
      </w:pP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вікна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―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металопластик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заповнений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склопакетами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ролетна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решітка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</w:rPr>
      </w:pP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двері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–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дерев’яні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металеві (вхідні)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місця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в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буд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які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не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порушують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архітектурного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вигляду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будівлі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для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розташування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кондиціонерів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, 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засобів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супутникового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зв'язку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- застосування енергозберігаючих технологій;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забезпеч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умов для комфортного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перебування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безперешкодного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пересування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відповідно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до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вимог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ДБН В.2.2-17:2006 «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і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Доступність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будинків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і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для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»,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розділу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12 ДБН В.2.2-9-2009 “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Громадські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Основні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положення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”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).</w:t>
      </w:r>
      <w:proofErr w:type="gramEnd"/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10.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Забезпечення умов транспортно-пішохідного зв’язку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b/>
          <w:kern w:val="0"/>
          <w:sz w:val="28"/>
          <w:szCs w:val="28"/>
          <w:lang w:val="uk-UA" w:eastAsia="ar-SA"/>
        </w:rPr>
        <w:t xml:space="preserve">― 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передбачити під'їзд до</w:t>
      </w:r>
    </w:p>
    <w:p w:rsidR="00386EE6" w:rsidRPr="0091674C" w:rsidRDefault="00386EE6" w:rsidP="00386EE6">
      <w:pPr>
        <w:widowControl/>
        <w:autoSpaceDN/>
        <w:spacing w:after="0" w:line="240" w:lineRule="auto"/>
        <w:ind w:left="567"/>
        <w:jc w:val="both"/>
        <w:textAlignment w:val="auto"/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об'єкта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 xml:space="preserve">з вул. </w:t>
      </w:r>
      <w:proofErr w:type="spellStart"/>
      <w:r w:rsidR="005F5523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Сумгаїтської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,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Arial Unicode MS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11.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-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 xml:space="preserve">розрахункову кількість машино-місць для зберігання автотранспорту визначити відповідно до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ДБН 360-92</w:t>
      </w:r>
      <w:r w:rsidRPr="0091674C">
        <w:rPr>
          <w:rFonts w:ascii="Tahoma" w:eastAsia="Times New Roman" w:hAnsi="Tahoma" w:cs="Arial Unicode MS"/>
          <w:bCs/>
          <w:kern w:val="0"/>
          <w:sz w:val="27"/>
          <w:szCs w:val="27"/>
          <w:lang w:val="uk-UA"/>
        </w:rPr>
        <w:t>**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  <w:r w:rsidR="005F5523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Паркування автомобілів передбачити на </w:t>
      </w:r>
      <w:proofErr w:type="spellStart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паркомайданчиках</w:t>
      </w:r>
      <w:proofErr w:type="spellEnd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по вул. </w:t>
      </w:r>
      <w:proofErr w:type="spellStart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Сумгаїтській</w:t>
      </w:r>
      <w:proofErr w:type="spellEnd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12.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>Вимоги щодо охорони культурної спадщини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 xml:space="preserve">―  </w:t>
      </w:r>
      <w:r w:rsidRPr="00B86AD0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>відсутні.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13.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>Інші вимоги до об’єктів будівництва, передбачені законодавством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 -          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>„Про</w:t>
      </w:r>
      <w:proofErr w:type="spellEnd"/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lastRenderedPageBreak/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                                               </w:t>
      </w:r>
    </w:p>
    <w:p w:rsidR="00386EE6" w:rsidRPr="0091674C" w:rsidRDefault="00386EE6" w:rsidP="00386EE6">
      <w:pPr>
        <w:widowControl/>
        <w:autoSpaceDN/>
        <w:spacing w:after="0" w:line="240" w:lineRule="auto"/>
        <w:ind w:left="2832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ІІ. Графічна частина.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</w:p>
    <w:p w:rsidR="00386EE6" w:rsidRPr="005959EE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Викопіювання з плану міста М 1:2000 — 1 аркуш.</w:t>
      </w:r>
    </w:p>
    <w:p w:rsidR="00386EE6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Фрагмент генплану міста М 1:</w:t>
      </w:r>
      <w:r w:rsidR="002560F8">
        <w:rPr>
          <w:rFonts w:ascii="Times New Roman" w:hAnsi="Times New Roman"/>
          <w:kern w:val="0"/>
          <w:sz w:val="27"/>
          <w:szCs w:val="27"/>
          <w:lang w:val="uk-UA" w:eastAsia="ar-SA"/>
        </w:rPr>
        <w:t>5</w:t>
      </w: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000 — 1 аркуш.</w:t>
      </w:r>
    </w:p>
    <w:p w:rsidR="00386EE6" w:rsidRPr="005959EE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>
        <w:rPr>
          <w:rFonts w:ascii="Times New Roman" w:hAnsi="Times New Roman"/>
          <w:kern w:val="0"/>
          <w:sz w:val="27"/>
          <w:szCs w:val="27"/>
          <w:lang w:val="uk-UA" w:eastAsia="ar-SA"/>
        </w:rPr>
        <w:t>Фрагмент плану зонування М 1:</w:t>
      </w:r>
      <w:r w:rsidR="002560F8">
        <w:rPr>
          <w:rFonts w:ascii="Times New Roman" w:hAnsi="Times New Roman"/>
          <w:kern w:val="0"/>
          <w:sz w:val="27"/>
          <w:szCs w:val="27"/>
          <w:lang w:val="uk-UA" w:eastAsia="ar-SA"/>
        </w:rPr>
        <w:t>5</w:t>
      </w:r>
      <w:r>
        <w:rPr>
          <w:rFonts w:ascii="Times New Roman" w:hAnsi="Times New Roman"/>
          <w:kern w:val="0"/>
          <w:sz w:val="27"/>
          <w:szCs w:val="27"/>
          <w:lang w:val="uk-UA" w:eastAsia="ar-SA"/>
        </w:rPr>
        <w:t>000  - 1 аркуш</w:t>
      </w: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Начальник управління планування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та архітектури департаменту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386EE6" w:rsidRDefault="00386EE6" w:rsidP="00386EE6"/>
    <w:p w:rsidR="00AC663F" w:rsidRDefault="00AC663F"/>
    <w:sectPr w:rsidR="00AC663F" w:rsidSect="002560F8">
      <w:pgSz w:w="11906" w:h="16838"/>
      <w:pgMar w:top="680" w:right="706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A7"/>
    <w:multiLevelType w:val="hybridMultilevel"/>
    <w:tmpl w:val="CDA0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D34A3"/>
    <w:multiLevelType w:val="hybridMultilevel"/>
    <w:tmpl w:val="3558FAB2"/>
    <w:lvl w:ilvl="0" w:tplc="6950A69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0E26"/>
    <w:multiLevelType w:val="hybridMultilevel"/>
    <w:tmpl w:val="8F52DA6E"/>
    <w:lvl w:ilvl="0" w:tplc="58DAF642">
      <w:start w:val="4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E6"/>
    <w:rsid w:val="0010605F"/>
    <w:rsid w:val="002560F8"/>
    <w:rsid w:val="00386EE6"/>
    <w:rsid w:val="005202DF"/>
    <w:rsid w:val="005D051E"/>
    <w:rsid w:val="005F5523"/>
    <w:rsid w:val="00697A0F"/>
    <w:rsid w:val="00AC663F"/>
    <w:rsid w:val="00D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E6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EE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386EE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E6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5D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E6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EE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386EE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E6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5D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3C41-9A5F-41BA-8109-78E89BC3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2</cp:revision>
  <cp:lastPrinted>2016-04-26T05:43:00Z</cp:lastPrinted>
  <dcterms:created xsi:type="dcterms:W3CDTF">2016-04-25T13:10:00Z</dcterms:created>
  <dcterms:modified xsi:type="dcterms:W3CDTF">2016-04-26T05:45:00Z</dcterms:modified>
</cp:coreProperties>
</file>